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6B314B">
        <w:rPr>
          <w:sz w:val="28"/>
          <w:szCs w:val="28"/>
        </w:rPr>
        <w:t>05-1289/2607/2024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6B314B">
        <w:rPr>
          <w:sz w:val="28"/>
          <w:szCs w:val="28"/>
        </w:rPr>
        <w:t>18.09.2024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B57CB">
        <w:rPr>
          <w:bCs/>
          <w:sz w:val="28"/>
          <w:szCs w:val="28"/>
        </w:rPr>
        <w:t>каб</w:t>
      </w:r>
      <w:r w:rsidRPr="005B57CB">
        <w:rPr>
          <w:bCs/>
          <w:sz w:val="28"/>
          <w:szCs w:val="28"/>
        </w:rPr>
        <w:t xml:space="preserve">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6B314B">
        <w:rPr>
          <w:sz w:val="28"/>
          <w:szCs w:val="28"/>
        </w:rPr>
        <w:t>05-1289/2607/2024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6B314B">
        <w:rPr>
          <w:sz w:val="28"/>
          <w:szCs w:val="28"/>
        </w:rPr>
        <w:t>конкурсного управляющего общества с ограниченной ответственностью "</w:t>
      </w:r>
      <w:r w:rsidR="006B314B">
        <w:rPr>
          <w:sz w:val="28"/>
          <w:szCs w:val="28"/>
        </w:rPr>
        <w:t>Техресурс</w:t>
      </w:r>
      <w:r w:rsidR="006B314B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B314B">
        <w:rPr>
          <w:sz w:val="28"/>
          <w:szCs w:val="28"/>
        </w:rPr>
        <w:t>Кузьмик</w:t>
      </w:r>
      <w:r w:rsidR="006B314B">
        <w:rPr>
          <w:sz w:val="28"/>
          <w:szCs w:val="28"/>
        </w:rPr>
        <w:t xml:space="preserve"> Ольги Владимировны</w:t>
      </w:r>
      <w:r w:rsidRPr="00264835" w:rsidR="00264835">
        <w:rPr>
          <w:sz w:val="28"/>
          <w:szCs w:val="28"/>
        </w:rPr>
        <w:t>…….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6B314B">
        <w:rPr>
          <w:sz w:val="28"/>
          <w:szCs w:val="28"/>
        </w:rPr>
        <w:t>конкурсный управляющий общества с ограниченной ответственностью "</w:t>
      </w:r>
      <w:r w:rsidR="006B314B">
        <w:rPr>
          <w:sz w:val="28"/>
          <w:szCs w:val="28"/>
        </w:rPr>
        <w:t>Техресурс</w:t>
      </w:r>
      <w:r w:rsidR="006B314B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B314B">
        <w:rPr>
          <w:sz w:val="28"/>
          <w:szCs w:val="28"/>
        </w:rPr>
        <w:t>Кузьмик</w:t>
      </w:r>
      <w:r w:rsidR="006B314B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</w:t>
      </w:r>
      <w:r w:rsidRPr="005B57CB">
        <w:rPr>
          <w:sz w:val="28"/>
          <w:szCs w:val="28"/>
        </w:rPr>
        <w:t>п.п</w:t>
      </w:r>
      <w:r w:rsidRPr="005B57CB">
        <w:rPr>
          <w:sz w:val="28"/>
          <w:szCs w:val="28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предоставил</w:t>
      </w:r>
      <w:r w:rsidR="006B31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6B314B">
        <w:rPr>
          <w:sz w:val="28"/>
          <w:szCs w:val="28"/>
        </w:rPr>
        <w:t>23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6B314B">
        <w:rPr>
          <w:sz w:val="28"/>
          <w:szCs w:val="28"/>
        </w:rPr>
        <w:t>25</w:t>
      </w:r>
      <w:r w:rsidR="00AD7404">
        <w:rPr>
          <w:sz w:val="28"/>
          <w:szCs w:val="28"/>
        </w:rPr>
        <w:t>.03.202</w:t>
      </w:r>
      <w:r w:rsidR="006B314B">
        <w:rPr>
          <w:sz w:val="28"/>
          <w:szCs w:val="28"/>
        </w:rPr>
        <w:t>4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6B314B">
        <w:rPr>
          <w:sz w:val="28"/>
          <w:szCs w:val="28"/>
        </w:rPr>
        <w:t>26.03.2024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Кузьмик</w:t>
      </w:r>
      <w:r>
        <w:rPr>
          <w:sz w:val="28"/>
          <w:szCs w:val="28"/>
        </w:rPr>
        <w:t xml:space="preserve"> Ольга Владимировна</w:t>
      </w:r>
      <w:r w:rsidRPr="005B57CB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5B57CB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6B314B">
        <w:rPr>
          <w:sz w:val="28"/>
          <w:szCs w:val="28"/>
        </w:rPr>
        <w:t>ХМАО-Югра, г. Сургут, ул. Юности, д. 19, кв. 13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В силу </w:t>
      </w:r>
      <w:r w:rsidRPr="00267FAD">
        <w:rPr>
          <w:sz w:val="28"/>
          <w:szCs w:val="28"/>
        </w:rPr>
        <w:t>пп</w:t>
      </w:r>
      <w:r w:rsidRPr="00267FAD">
        <w:rPr>
          <w:sz w:val="28"/>
          <w:szCs w:val="28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6B314B">
        <w:rPr>
          <w:sz w:val="28"/>
          <w:szCs w:val="28"/>
        </w:rPr>
        <w:t>32472 от 31.07.2024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6B314B">
        <w:rPr>
          <w:sz w:val="28"/>
          <w:szCs w:val="28"/>
        </w:rPr>
        <w:t>конкурсного управляющего общества с ограниченной ответственностью "</w:t>
      </w:r>
      <w:r w:rsidR="006B314B">
        <w:rPr>
          <w:sz w:val="28"/>
          <w:szCs w:val="28"/>
        </w:rPr>
        <w:t>Техресурс</w:t>
      </w:r>
      <w:r w:rsidR="006B314B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B314B">
        <w:rPr>
          <w:sz w:val="28"/>
          <w:szCs w:val="28"/>
        </w:rPr>
        <w:t>Кузьмик</w:t>
      </w:r>
      <w:r w:rsidR="006B314B">
        <w:rPr>
          <w:sz w:val="28"/>
          <w:szCs w:val="28"/>
        </w:rPr>
        <w:t xml:space="preserve"> Ольги Владимировны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</w:t>
      </w:r>
      <w:r w:rsidRPr="005B57CB">
        <w:rPr>
          <w:sz w:val="28"/>
          <w:szCs w:val="2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B57CB">
        <w:rPr>
          <w:sz w:val="28"/>
          <w:szCs w:val="28"/>
        </w:rPr>
        <w:t xml:space="preserve">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  <w:lang w:val="x-none"/>
        </w:rPr>
        <w:t>При назначении наказания</w:t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B57CB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6B314B">
        <w:rPr>
          <w:sz w:val="28"/>
          <w:szCs w:val="28"/>
        </w:rPr>
        <w:t>конкурсного управляющего общества с ограниченной ответственностью "</w:t>
      </w:r>
      <w:r w:rsidR="006B314B">
        <w:rPr>
          <w:sz w:val="28"/>
          <w:szCs w:val="28"/>
        </w:rPr>
        <w:t>Техресурс</w:t>
      </w:r>
      <w:r w:rsidR="006B314B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B314B">
        <w:rPr>
          <w:sz w:val="28"/>
          <w:szCs w:val="28"/>
        </w:rPr>
        <w:t>Кузьмик</w:t>
      </w:r>
      <w:r w:rsidR="006B314B">
        <w:rPr>
          <w:sz w:val="28"/>
          <w:szCs w:val="28"/>
        </w:rPr>
        <w:t xml:space="preserve"> Ольгу Владимировну </w:t>
      </w:r>
      <w:r w:rsidR="006B314B">
        <w:rPr>
          <w:sz w:val="28"/>
          <w:szCs w:val="28"/>
        </w:rPr>
        <w:t>признать виновной</w:t>
      </w:r>
      <w:r w:rsidRPr="005B57CB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B57CB">
        <w:rPr>
          <w:sz w:val="28"/>
          <w:szCs w:val="28"/>
        </w:rPr>
        <w:t>назначить ему наказание в виде предупреждения.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6B314B">
        <w:t>05-1289/2607/2024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6B314B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4835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6EBA"/>
    <w:rsid w:val="0056788F"/>
    <w:rsid w:val="00576623"/>
    <w:rsid w:val="00584FE2"/>
    <w:rsid w:val="005920B0"/>
    <w:rsid w:val="005946B8"/>
    <w:rsid w:val="005B57CB"/>
    <w:rsid w:val="006058F4"/>
    <w:rsid w:val="00614EA6"/>
    <w:rsid w:val="006303F7"/>
    <w:rsid w:val="00631F8D"/>
    <w:rsid w:val="006331E3"/>
    <w:rsid w:val="00651F68"/>
    <w:rsid w:val="006A2FD4"/>
    <w:rsid w:val="006B314B"/>
    <w:rsid w:val="006B368C"/>
    <w:rsid w:val="006F220C"/>
    <w:rsid w:val="0071240F"/>
    <w:rsid w:val="00717C19"/>
    <w:rsid w:val="00717EEC"/>
    <w:rsid w:val="00737D34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D6A96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609DF0-5EF8-4065-908B-5529C4EF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